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bookmarkStart w:colFirst="0" w:colLast="0" w:name="_krfi6g1xsu22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Equity and ESOP Planning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equity and ESOP (Employee Stock Ownership Plan) strategy is critical for aligning employee incentives with long-term business goals. A well-structured equity plan rewards early contributors, attracts top talent, and reassures investors of a thoughtful dilution strategy. This template helps founders plan equity distribution, determine ESOP pool size, and establish vesting, granting, and communication frameworks to manage ownership professionally.</w:t>
      </w:r>
    </w:p>
    <w:p w:rsidR="00000000" w:rsidDel="00000000" w:rsidP="00000000" w:rsidRDefault="00000000" w:rsidRPr="00000000" w14:paraId="00000003">
      <w:pPr>
        <w:pStyle w:val="Heading2"/>
        <w:rPr>
          <w:rFonts w:ascii="Proxima Nova" w:cs="Proxima Nova" w:eastAsia="Proxima Nova" w:hAnsi="Proxima Nova"/>
          <w:b w:val="1"/>
        </w:rPr>
      </w:pPr>
      <w:bookmarkStart w:colFirst="0" w:colLast="0" w:name="_lvshfqiwfqnf" w:id="1"/>
      <w:bookmarkEnd w:id="1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Cap Table Planning: Founders and Investors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8.407310704961"/>
        <w:gridCol w:w="2219.028720626632"/>
        <w:gridCol w:w="2864.2088772845955"/>
        <w:gridCol w:w="2248.355091383812"/>
        <w:tblGridChange w:id="0">
          <w:tblGrid>
            <w:gridCol w:w="2028.407310704961"/>
            <w:gridCol w:w="2219.028720626632"/>
            <w:gridCol w:w="2864.2088772845955"/>
            <w:gridCol w:w="2248.355091383812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Stakeholder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% Ownership (Pre-ESOP)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% Ownership (Post-ESOP Allocation)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Founder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60%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54%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CEO &amp; Vision Holder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Founder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27%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CTO – Product Builder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Angel Investor(s)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9%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Pre-seed Investment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ESOP Pool (Reserved)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For employees, advisors, etc.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>
          <w:rFonts w:ascii="Proxima Nova" w:cs="Proxima Nova" w:eastAsia="Proxima Nova" w:hAnsi="Proxima Nova"/>
          <w:b w:val="1"/>
        </w:rPr>
      </w:pPr>
      <w:bookmarkStart w:colFirst="0" w:colLast="0" w:name="_5jl2847eqsbj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Recommended ESOP Pool Sizing by Stage</w:t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5"/>
        <w:gridCol w:w="2630"/>
        <w:gridCol w:w="3995"/>
        <w:tblGridChange w:id="0">
          <w:tblGrid>
            <w:gridCol w:w="1715"/>
            <w:gridCol w:w="2630"/>
            <w:gridCol w:w="39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Funding 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Typical ESOP Pool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Bootstrapped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5–7%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Key hires, advisors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10–15%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Early engineers, product, growth teams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Series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12–15%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CXOs, senior hires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Series B+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8–12%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Retention and expansion of talent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>
          <w:rFonts w:ascii="Proxima Nova" w:cs="Proxima Nova" w:eastAsia="Proxima Nova" w:hAnsi="Proxima Nova"/>
          <w:b w:val="1"/>
        </w:rPr>
      </w:pPr>
      <w:bookmarkStart w:colFirst="0" w:colLast="0" w:name="_lcqblpqle5p6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ESOP Design Elements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5"/>
        <w:gridCol w:w="7115"/>
        <w:tblGridChange w:id="0">
          <w:tblGrid>
            <w:gridCol w:w="2105"/>
            <w:gridCol w:w="711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Recommended Structure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Vesting Schedule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 years with 1-year cliff (25% after 12 months, then monthly/quarterly thereafter)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Grant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Options with fair market value exercise price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Exercise Window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10 years (or shorter if employee exits)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Accelerated Vesting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Consider single/double trigger only in acquisition or termination with cause scenarios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Termination Clause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Unvested options are forfeited; vested options exercisable for X days post-exit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>
          <w:rFonts w:ascii="Proxima Nova" w:cs="Proxima Nova" w:eastAsia="Proxima Nova" w:hAnsi="Proxima Nova"/>
          <w:b w:val="1"/>
        </w:rPr>
      </w:pPr>
      <w:bookmarkStart w:colFirst="0" w:colLast="0" w:name="_iqbm6vhowe8a" w:id="4"/>
      <w:bookmarkEnd w:id="4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Sample ESOP Allocation Table</w:t>
      </w:r>
    </w:p>
    <w:p w:rsidR="00000000" w:rsidDel="00000000" w:rsidP="00000000" w:rsidRDefault="00000000" w:rsidRPr="00000000" w14:paraId="0000004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2.396866840731"/>
        <w:gridCol w:w="1779.1331592689294"/>
        <w:gridCol w:w="1427.2167101827677"/>
        <w:gridCol w:w="4081.253263707572"/>
        <w:tblGridChange w:id="0">
          <w:tblGrid>
            <w:gridCol w:w="2072.396866840731"/>
            <w:gridCol w:w="1779.1331592689294"/>
            <w:gridCol w:w="1427.2167101827677"/>
            <w:gridCol w:w="4081.253263707572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% of Total Equity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Early Engineer (Core)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0.5% – 1.0%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Stock Options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High impact, early team member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Growth Lead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0.3% – 0.7%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Stock Options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Revenue-driving position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Senior Developer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0.2% – 0.5%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Stock Options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Depends on seniority and contribution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0.25% – 0.75%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Equity Grant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Often subject to 2-year vesting, quarterly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CXO (Non-founder)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1.5% – 3.0%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Stock Options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Depending on the title, stage, and role responsibility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>
          <w:rFonts w:ascii="Proxima Nova" w:cs="Proxima Nova" w:eastAsia="Proxima Nova" w:hAnsi="Proxima Nova"/>
          <w:b w:val="1"/>
        </w:rPr>
      </w:pPr>
      <w:bookmarkStart w:colFirst="0" w:colLast="0" w:name="_v97fzjfut6ta" w:id="5"/>
      <w:bookmarkEnd w:id="5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ESOP Grant Communication Checklist</w:t>
      </w:r>
    </w:p>
    <w:p w:rsidR="00000000" w:rsidDel="00000000" w:rsidP="00000000" w:rsidRDefault="00000000" w:rsidRPr="00000000" w14:paraId="0000005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7.955271565495"/>
        <w:gridCol w:w="2636.549520766773"/>
        <w:gridCol w:w="2965.4952076677314"/>
        <w:tblGridChange w:id="0">
          <w:tblGrid>
            <w:gridCol w:w="3757.955271565495"/>
            <w:gridCol w:w="2636.549520766773"/>
            <w:gridCol w:w="2965.4952076677314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Item to Communicate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Included in the Offer Letter?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Explained in a 1:1 Discussion?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Total options granted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Exercise price and fair market value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Vesting schedule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Tax implications and timing of exercise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Exit liquidity assumptions (if any)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6E">
      <w:pPr>
        <w:pStyle w:val="Heading2"/>
        <w:rPr>
          <w:rFonts w:ascii="Proxima Nova" w:cs="Proxima Nova" w:eastAsia="Proxima Nova" w:hAnsi="Proxima Nova"/>
          <w:b w:val="1"/>
        </w:rPr>
      </w:pPr>
      <w:bookmarkStart w:colFirst="0" w:colLast="0" w:name="_vderpjgzjwzj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Equity Communication for Founders and Investors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Clearly define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pre- and post-ESOP ownership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in your pitch decks and cap table.</w:t>
        <w:br w:type="textWrapping"/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Highlight how the ESOP pool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enables retention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and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long-term commitment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Ensure investors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agree to refresh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or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top up ESOP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post-funding, if needed.</w:t>
        <w:br w:type="textWrapping"/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Always seek legal and financial guidance when structuring your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ESOP agreement or trust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73">
      <w:pPr>
        <w:pStyle w:val="Heading2"/>
        <w:rPr>
          <w:rFonts w:ascii="Proxima Nova" w:cs="Proxima Nova" w:eastAsia="Proxima Nova" w:hAnsi="Proxima Nova"/>
          <w:b w:val="1"/>
        </w:rPr>
      </w:pPr>
      <w:bookmarkStart w:colFirst="0" w:colLast="0" w:name="_mv2mwyj7jkcc" w:id="7"/>
      <w:bookmarkEnd w:id="7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Final Setup Checklist</w:t>
      </w:r>
    </w:p>
    <w:p w:rsidR="00000000" w:rsidDel="00000000" w:rsidP="00000000" w:rsidRDefault="00000000" w:rsidRPr="00000000" w14:paraId="0000007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20"/>
        <w:gridCol w:w="3930"/>
        <w:tblGridChange w:id="0">
          <w:tblGrid>
            <w:gridCol w:w="4620"/>
            <w:gridCol w:w="393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Drafted or updated cap table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Created ESOP policy document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Legal approval from the board/founders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ESOP pool reserved and included in the cap table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The ESOP plan was communicated to the current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Offer letters include equity grant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References:</w:t>
      </w:r>
    </w:p>
    <w:p w:rsidR="00000000" w:rsidDel="00000000" w:rsidP="00000000" w:rsidRDefault="00000000" w:rsidRPr="00000000" w14:paraId="00000085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Proxima Nova" w:cs="Proxima Nova" w:eastAsia="Proxima Nova" w:hAnsi="Proxima Nova"/>
        </w:rPr>
      </w:pP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rtl w:val="0"/>
          </w:rPr>
          <w:t xml:space="preserve">https://www.greythr.com/downloadable-resource/ESOP-scheme/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reythr.com/downloadable-resource/ESOP-schem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