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D9C43" w14:textId="68126E9D" w:rsidR="0074491C" w:rsidRPr="0074491C" w:rsidRDefault="0074491C" w:rsidP="00D11567">
      <w:pPr>
        <w:spacing w:before="320" w:after="80"/>
        <w:jc w:val="center"/>
        <w:outlineLvl w:val="2"/>
        <w:rPr>
          <w:rFonts w:ascii="Times New Roman" w:eastAsia="Times New Roman" w:hAnsi="Times New Roman" w:cs="Times New Roman"/>
          <w:b/>
          <w:bCs/>
          <w:color w:val="000000"/>
          <w:sz w:val="27"/>
          <w:szCs w:val="27"/>
        </w:rPr>
      </w:pPr>
      <w:r>
        <w:rPr>
          <w:rFonts w:ascii="Arial" w:eastAsia="Times New Roman" w:hAnsi="Arial" w:cs="Arial"/>
          <w:b/>
          <w:bCs/>
          <w:color w:val="000000"/>
          <w:sz w:val="28"/>
          <w:szCs w:val="28"/>
        </w:rPr>
        <w:t xml:space="preserve">EL </w:t>
      </w:r>
      <w:r w:rsidRPr="0074491C">
        <w:rPr>
          <w:rFonts w:ascii="Arial" w:eastAsia="Times New Roman" w:hAnsi="Arial" w:cs="Arial"/>
          <w:b/>
          <w:bCs/>
          <w:color w:val="000000"/>
          <w:sz w:val="28"/>
          <w:szCs w:val="28"/>
        </w:rPr>
        <w:t>Study Aid</w:t>
      </w:r>
      <w:r>
        <w:rPr>
          <w:rFonts w:ascii="Arial" w:eastAsia="Times New Roman" w:hAnsi="Arial" w:cs="Arial"/>
          <w:b/>
          <w:bCs/>
          <w:color w:val="000000"/>
          <w:sz w:val="28"/>
          <w:szCs w:val="28"/>
        </w:rPr>
        <w:t xml:space="preserve"> 1</w:t>
      </w:r>
      <w:r w:rsidR="00514E5E">
        <w:rPr>
          <w:rFonts w:ascii="Arial" w:eastAsia="Times New Roman" w:hAnsi="Arial" w:cs="Arial"/>
          <w:b/>
          <w:bCs/>
          <w:color w:val="000000"/>
          <w:sz w:val="28"/>
          <w:szCs w:val="28"/>
        </w:rPr>
        <w:t>2</w:t>
      </w:r>
      <w:r w:rsidRPr="0074491C">
        <w:rPr>
          <w:rFonts w:ascii="Arial" w:eastAsia="Times New Roman" w:hAnsi="Arial" w:cs="Arial"/>
          <w:b/>
          <w:bCs/>
          <w:color w:val="000000"/>
          <w:sz w:val="28"/>
          <w:szCs w:val="28"/>
        </w:rPr>
        <w:t>: Labor Law &amp; Unfair Labor Practices</w:t>
      </w:r>
    </w:p>
    <w:p w14:paraId="52C09A5E" w14:textId="77777777" w:rsidR="0074491C" w:rsidRPr="0074491C" w:rsidRDefault="0074491C" w:rsidP="0074491C">
      <w:pPr>
        <w:spacing w:after="240"/>
        <w:rPr>
          <w:rFonts w:ascii="Times New Roman" w:eastAsia="Times New Roman" w:hAnsi="Times New Roman" w:cs="Times New Roman"/>
          <w:color w:val="000000"/>
        </w:rPr>
      </w:pPr>
    </w:p>
    <w:tbl>
      <w:tblPr>
        <w:tblW w:w="13490" w:type="dxa"/>
        <w:tblCellMar>
          <w:top w:w="15" w:type="dxa"/>
          <w:left w:w="15" w:type="dxa"/>
          <w:bottom w:w="15" w:type="dxa"/>
          <w:right w:w="15" w:type="dxa"/>
        </w:tblCellMar>
        <w:tblLook w:val="04A0" w:firstRow="1" w:lastRow="0" w:firstColumn="1" w:lastColumn="0" w:noHBand="0" w:noVBand="1"/>
      </w:tblPr>
      <w:tblGrid>
        <w:gridCol w:w="690"/>
        <w:gridCol w:w="2216"/>
        <w:gridCol w:w="10584"/>
      </w:tblGrid>
      <w:tr w:rsidR="0074491C" w:rsidRPr="0074491C" w14:paraId="1F0B40A4" w14:textId="77777777" w:rsidTr="0074491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EEF4DF" w14:textId="77777777" w:rsidR="0074491C" w:rsidRPr="0074491C" w:rsidRDefault="0074491C" w:rsidP="0074491C">
            <w:pPr>
              <w:jc w:val="center"/>
              <w:rPr>
                <w:rFonts w:ascii="Times New Roman" w:eastAsia="Times New Roman" w:hAnsi="Times New Roman" w:cs="Times New Roman"/>
              </w:rPr>
            </w:pPr>
            <w:r w:rsidRPr="0074491C">
              <w:rPr>
                <w:rFonts w:ascii="Arial" w:eastAsia="Times New Roman" w:hAnsi="Arial" w:cs="Arial"/>
                <w:b/>
                <w:bCs/>
                <w:color w:val="000000"/>
                <w:sz w:val="16"/>
                <w:szCs w:val="16"/>
              </w:rPr>
              <w:t>Year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34D7FF" w14:textId="77777777" w:rsidR="0074491C" w:rsidRPr="0074491C" w:rsidRDefault="0074491C" w:rsidP="0074491C">
            <w:pPr>
              <w:jc w:val="center"/>
              <w:rPr>
                <w:rFonts w:ascii="Times New Roman" w:eastAsia="Times New Roman" w:hAnsi="Times New Roman" w:cs="Times New Roman"/>
              </w:rPr>
            </w:pPr>
            <w:r w:rsidRPr="0074491C">
              <w:rPr>
                <w:rFonts w:ascii="Arial" w:eastAsia="Times New Roman" w:hAnsi="Arial" w:cs="Arial"/>
                <w:b/>
                <w:bCs/>
                <w:color w:val="000000"/>
                <w:sz w:val="16"/>
                <w:szCs w:val="16"/>
              </w:rPr>
              <w:t>Law</w:t>
            </w:r>
          </w:p>
        </w:tc>
        <w:tc>
          <w:tcPr>
            <w:tcW w:w="105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4F01F8" w14:textId="77777777" w:rsidR="0074491C" w:rsidRPr="0074491C" w:rsidRDefault="0074491C" w:rsidP="0074491C">
            <w:pPr>
              <w:jc w:val="center"/>
              <w:rPr>
                <w:rFonts w:ascii="Times New Roman" w:eastAsia="Times New Roman" w:hAnsi="Times New Roman" w:cs="Times New Roman"/>
              </w:rPr>
            </w:pPr>
            <w:r w:rsidRPr="0074491C">
              <w:rPr>
                <w:rFonts w:ascii="Arial" w:eastAsia="Times New Roman" w:hAnsi="Arial" w:cs="Arial"/>
                <w:b/>
                <w:bCs/>
                <w:color w:val="000000"/>
                <w:sz w:val="16"/>
                <w:szCs w:val="16"/>
              </w:rPr>
              <w:t>Description</w:t>
            </w:r>
          </w:p>
        </w:tc>
      </w:tr>
      <w:tr w:rsidR="0074491C" w:rsidRPr="0074491C" w14:paraId="613402DB" w14:textId="77777777" w:rsidTr="0074491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BB9A3D" w14:textId="77777777" w:rsidR="0074491C" w:rsidRPr="0074491C" w:rsidRDefault="0074491C" w:rsidP="0074491C">
            <w:pPr>
              <w:rPr>
                <w:rFonts w:ascii="Times New Roman" w:eastAsia="Times New Roman" w:hAnsi="Times New Roman" w:cs="Times New Roman"/>
              </w:rPr>
            </w:pPr>
            <w:r w:rsidRPr="0074491C">
              <w:rPr>
                <w:rFonts w:ascii="Arial" w:eastAsia="Times New Roman" w:hAnsi="Arial" w:cs="Arial"/>
                <w:color w:val="000000"/>
                <w:sz w:val="22"/>
                <w:szCs w:val="22"/>
              </w:rPr>
              <w:t>1932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18D4A6" w14:textId="77777777" w:rsidR="0074491C" w:rsidRPr="0074491C" w:rsidRDefault="0074491C" w:rsidP="0074491C">
            <w:pPr>
              <w:spacing w:before="240" w:after="80"/>
              <w:outlineLvl w:val="5"/>
              <w:rPr>
                <w:rFonts w:ascii="Times New Roman" w:eastAsia="Times New Roman" w:hAnsi="Times New Roman" w:cs="Times New Roman"/>
                <w:b/>
                <w:bCs/>
                <w:sz w:val="15"/>
                <w:szCs w:val="15"/>
              </w:rPr>
            </w:pPr>
            <w:r w:rsidRPr="0074491C">
              <w:rPr>
                <w:rFonts w:ascii="Arial" w:eastAsia="Times New Roman" w:hAnsi="Arial" w:cs="Arial"/>
                <w:i/>
                <w:iCs/>
                <w:color w:val="000000"/>
                <w:sz w:val="22"/>
                <w:szCs w:val="22"/>
              </w:rPr>
              <w:t>The Norris-LaGuardia Act </w:t>
            </w:r>
          </w:p>
        </w:tc>
        <w:tc>
          <w:tcPr>
            <w:tcW w:w="105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A2D0E0" w14:textId="77777777" w:rsidR="0074491C" w:rsidRPr="0074491C" w:rsidRDefault="0074491C" w:rsidP="0074491C">
            <w:pPr>
              <w:rPr>
                <w:rFonts w:ascii="Times New Roman" w:eastAsia="Times New Roman" w:hAnsi="Times New Roman" w:cs="Times New Roman"/>
              </w:rPr>
            </w:pPr>
            <w:r w:rsidRPr="0074491C">
              <w:rPr>
                <w:rFonts w:ascii="Arial" w:eastAsia="Times New Roman" w:hAnsi="Arial" w:cs="Arial"/>
                <w:color w:val="000000"/>
                <w:sz w:val="22"/>
                <w:szCs w:val="22"/>
              </w:rPr>
              <w:t xml:space="preserve">“Outlawed </w:t>
            </w:r>
            <w:r w:rsidRPr="0074491C">
              <w:rPr>
                <w:rFonts w:ascii="Arial" w:eastAsia="Times New Roman" w:hAnsi="Arial" w:cs="Arial"/>
                <w:b/>
                <w:bCs/>
                <w:i/>
                <w:iCs/>
                <w:color w:val="000000"/>
                <w:sz w:val="22"/>
                <w:szCs w:val="22"/>
              </w:rPr>
              <w:t>yellow-dog contracts</w:t>
            </w:r>
            <w:r w:rsidRPr="0074491C">
              <w:rPr>
                <w:rFonts w:ascii="Arial" w:eastAsia="Times New Roman" w:hAnsi="Arial" w:cs="Arial"/>
                <w:color w:val="000000"/>
                <w:sz w:val="22"/>
                <w:szCs w:val="22"/>
              </w:rPr>
              <w:t xml:space="preserve"> and further restricted the use of court injunctions in labor disputes against strikes, picketing, and boycotts” (SHRM.org)</w:t>
            </w:r>
          </w:p>
        </w:tc>
      </w:tr>
      <w:tr w:rsidR="0074491C" w:rsidRPr="0074491C" w14:paraId="344D5763" w14:textId="77777777" w:rsidTr="0074491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35E7177" w14:textId="77777777" w:rsidR="0074491C" w:rsidRPr="0074491C" w:rsidRDefault="0074491C" w:rsidP="0074491C">
            <w:pPr>
              <w:rPr>
                <w:rFonts w:ascii="Times New Roman" w:eastAsia="Times New Roman" w:hAnsi="Times New Roman" w:cs="Times New Roman"/>
              </w:rPr>
            </w:pPr>
            <w:r w:rsidRPr="0074491C">
              <w:rPr>
                <w:rFonts w:ascii="Arial" w:eastAsia="Times New Roman" w:hAnsi="Arial" w:cs="Arial"/>
                <w:color w:val="000000"/>
                <w:sz w:val="22"/>
                <w:szCs w:val="22"/>
              </w:rPr>
              <w:t>1935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3396E7" w14:textId="77777777" w:rsidR="0074491C" w:rsidRPr="0074491C" w:rsidRDefault="0074491C" w:rsidP="0074491C">
            <w:pPr>
              <w:spacing w:before="240" w:after="80"/>
              <w:outlineLvl w:val="5"/>
              <w:rPr>
                <w:rFonts w:ascii="Times New Roman" w:eastAsia="Times New Roman" w:hAnsi="Times New Roman" w:cs="Times New Roman"/>
                <w:b/>
                <w:bCs/>
                <w:sz w:val="15"/>
                <w:szCs w:val="15"/>
              </w:rPr>
            </w:pPr>
            <w:r w:rsidRPr="0074491C">
              <w:rPr>
                <w:rFonts w:ascii="Arial" w:eastAsia="Times New Roman" w:hAnsi="Arial" w:cs="Arial"/>
                <w:i/>
                <w:iCs/>
                <w:color w:val="000000"/>
                <w:sz w:val="22"/>
                <w:szCs w:val="22"/>
              </w:rPr>
              <w:t>The National Labor Relations Act (NLRA) (The Wagner Act)</w:t>
            </w:r>
          </w:p>
        </w:tc>
        <w:tc>
          <w:tcPr>
            <w:tcW w:w="105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31105B" w14:textId="77777777" w:rsidR="0074491C" w:rsidRPr="0074491C" w:rsidRDefault="0074491C" w:rsidP="0074491C">
            <w:pPr>
              <w:rPr>
                <w:rFonts w:ascii="Times New Roman" w:eastAsia="Times New Roman" w:hAnsi="Times New Roman" w:cs="Times New Roman"/>
              </w:rPr>
            </w:pPr>
            <w:r w:rsidRPr="0074491C">
              <w:rPr>
                <w:rFonts w:ascii="Arial" w:eastAsia="Times New Roman" w:hAnsi="Arial" w:cs="Arial"/>
                <w:color w:val="000000"/>
                <w:sz w:val="22"/>
                <w:szCs w:val="22"/>
                <w:shd w:val="clear" w:color="auto" w:fill="FFFFFF"/>
              </w:rPr>
              <w:t>“Protects workplace democracy by providing employees at private-sector workplaces the fundamental right to seek better working conditions and designation of representation without fear of retaliation” (NLRB.gov).</w:t>
            </w:r>
          </w:p>
        </w:tc>
      </w:tr>
      <w:tr w:rsidR="0074491C" w:rsidRPr="0074491C" w14:paraId="2D166822" w14:textId="77777777" w:rsidTr="0074491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1E5320" w14:textId="77777777" w:rsidR="0074491C" w:rsidRPr="0074491C" w:rsidRDefault="0074491C" w:rsidP="0074491C">
            <w:pPr>
              <w:rPr>
                <w:rFonts w:ascii="Times New Roman" w:eastAsia="Times New Roman" w:hAnsi="Times New Roman" w:cs="Times New Roman"/>
              </w:rPr>
            </w:pPr>
            <w:r w:rsidRPr="0074491C">
              <w:rPr>
                <w:rFonts w:ascii="Arial" w:eastAsia="Times New Roman" w:hAnsi="Arial" w:cs="Arial"/>
                <w:color w:val="000000"/>
                <w:sz w:val="22"/>
                <w:szCs w:val="22"/>
              </w:rPr>
              <w:t>1947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67A428" w14:textId="77777777" w:rsidR="0074491C" w:rsidRPr="0074491C" w:rsidRDefault="0074491C" w:rsidP="0074491C">
            <w:pPr>
              <w:spacing w:before="240" w:after="80"/>
              <w:outlineLvl w:val="5"/>
              <w:rPr>
                <w:rFonts w:ascii="Times New Roman" w:eastAsia="Times New Roman" w:hAnsi="Times New Roman" w:cs="Times New Roman"/>
                <w:b/>
                <w:bCs/>
                <w:sz w:val="15"/>
                <w:szCs w:val="15"/>
              </w:rPr>
            </w:pPr>
            <w:r w:rsidRPr="0074491C">
              <w:rPr>
                <w:rFonts w:ascii="Arial" w:eastAsia="Times New Roman" w:hAnsi="Arial" w:cs="Arial"/>
                <w:i/>
                <w:iCs/>
                <w:color w:val="000000"/>
                <w:sz w:val="22"/>
                <w:szCs w:val="22"/>
              </w:rPr>
              <w:t>The Taft-Hartley Act </w:t>
            </w:r>
          </w:p>
        </w:tc>
        <w:tc>
          <w:tcPr>
            <w:tcW w:w="105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11487B" w14:textId="77777777" w:rsidR="0074491C" w:rsidRPr="0074491C" w:rsidRDefault="0074491C" w:rsidP="0074491C">
            <w:pPr>
              <w:rPr>
                <w:rFonts w:ascii="Times New Roman" w:eastAsia="Times New Roman" w:hAnsi="Times New Roman" w:cs="Times New Roman"/>
              </w:rPr>
            </w:pPr>
            <w:r w:rsidRPr="0074491C">
              <w:rPr>
                <w:rFonts w:ascii="Arial" w:eastAsia="Times New Roman" w:hAnsi="Arial" w:cs="Arial"/>
                <w:color w:val="000000"/>
                <w:sz w:val="22"/>
                <w:szCs w:val="22"/>
                <w:shd w:val="clear" w:color="auto" w:fill="FFFFFF"/>
              </w:rPr>
              <w:t>“The Taft-Hartley Act made major changes to the Wagner Act. Although Section 7 was retained intact in the revised law, new language was added to provide that employees had the right to refrain from participating in union or mutual aid activities except that they could be required to become members in a union as a condition of employment” (NLRB.gov).</w:t>
            </w:r>
          </w:p>
        </w:tc>
      </w:tr>
      <w:tr w:rsidR="0074491C" w:rsidRPr="0074491C" w14:paraId="6A1B4389" w14:textId="77777777" w:rsidTr="0074491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A5A4D6" w14:textId="77777777" w:rsidR="0074491C" w:rsidRPr="0074491C" w:rsidRDefault="0074491C" w:rsidP="0074491C">
            <w:pPr>
              <w:rPr>
                <w:rFonts w:ascii="Times New Roman" w:eastAsia="Times New Roman" w:hAnsi="Times New Roman" w:cs="Times New Roman"/>
              </w:rPr>
            </w:pPr>
            <w:r w:rsidRPr="0074491C">
              <w:rPr>
                <w:rFonts w:ascii="Arial" w:eastAsia="Times New Roman" w:hAnsi="Arial" w:cs="Arial"/>
                <w:color w:val="000000"/>
                <w:sz w:val="22"/>
                <w:szCs w:val="22"/>
              </w:rPr>
              <w:t>1959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B18055" w14:textId="77777777" w:rsidR="0074491C" w:rsidRPr="0074491C" w:rsidRDefault="0074491C" w:rsidP="0074491C">
            <w:pPr>
              <w:spacing w:before="240" w:after="80"/>
              <w:outlineLvl w:val="5"/>
              <w:rPr>
                <w:rFonts w:ascii="Times New Roman" w:eastAsia="Times New Roman" w:hAnsi="Times New Roman" w:cs="Times New Roman"/>
                <w:b/>
                <w:bCs/>
                <w:sz w:val="15"/>
                <w:szCs w:val="15"/>
              </w:rPr>
            </w:pPr>
            <w:r w:rsidRPr="0074491C">
              <w:rPr>
                <w:rFonts w:ascii="Arial" w:eastAsia="Times New Roman" w:hAnsi="Arial" w:cs="Arial"/>
                <w:i/>
                <w:iCs/>
                <w:color w:val="000000"/>
                <w:sz w:val="22"/>
                <w:szCs w:val="22"/>
              </w:rPr>
              <w:t>The Labor Management Reporting and Disclosure Act</w:t>
            </w:r>
          </w:p>
          <w:p w14:paraId="54950782" w14:textId="77777777" w:rsidR="0074491C" w:rsidRPr="0074491C" w:rsidRDefault="0074491C" w:rsidP="0074491C">
            <w:pPr>
              <w:spacing w:before="240" w:after="80"/>
              <w:outlineLvl w:val="5"/>
              <w:rPr>
                <w:rFonts w:ascii="Times New Roman" w:eastAsia="Times New Roman" w:hAnsi="Times New Roman" w:cs="Times New Roman"/>
                <w:b/>
                <w:bCs/>
                <w:sz w:val="15"/>
                <w:szCs w:val="15"/>
              </w:rPr>
            </w:pPr>
            <w:r w:rsidRPr="0074491C">
              <w:rPr>
                <w:rFonts w:ascii="Arial" w:eastAsia="Times New Roman" w:hAnsi="Arial" w:cs="Arial"/>
                <w:i/>
                <w:iCs/>
                <w:color w:val="000000"/>
                <w:sz w:val="22"/>
                <w:szCs w:val="22"/>
              </w:rPr>
              <w:t>(The Landrum-Griffin Act)</w:t>
            </w:r>
          </w:p>
        </w:tc>
        <w:tc>
          <w:tcPr>
            <w:tcW w:w="105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4DDCC4" w14:textId="77777777" w:rsidR="0074491C" w:rsidRPr="0074491C" w:rsidRDefault="0074491C" w:rsidP="0074491C">
            <w:pPr>
              <w:rPr>
                <w:rFonts w:ascii="Times New Roman" w:eastAsia="Times New Roman" w:hAnsi="Times New Roman" w:cs="Times New Roman"/>
              </w:rPr>
            </w:pPr>
            <w:r w:rsidRPr="0074491C">
              <w:rPr>
                <w:rFonts w:ascii="Arial" w:eastAsia="Times New Roman" w:hAnsi="Arial" w:cs="Arial"/>
                <w:color w:val="000000"/>
                <w:sz w:val="22"/>
                <w:szCs w:val="22"/>
              </w:rPr>
              <w:t>“Protected employees’ union membership rights from unfair practices by unions” (NLRB.gov).</w:t>
            </w:r>
          </w:p>
        </w:tc>
      </w:tr>
    </w:tbl>
    <w:p w14:paraId="32FAD42F" w14:textId="77777777" w:rsidR="0074491C" w:rsidRPr="0074491C" w:rsidRDefault="0074491C" w:rsidP="0074491C">
      <w:pPr>
        <w:rPr>
          <w:rFonts w:ascii="Times New Roman" w:eastAsia="Times New Roman" w:hAnsi="Times New Roman" w:cs="Times New Roman"/>
          <w:color w:val="000000"/>
        </w:rPr>
      </w:pPr>
    </w:p>
    <w:p w14:paraId="5BAADAC0" w14:textId="77777777" w:rsidR="0074491C" w:rsidRPr="0074491C" w:rsidRDefault="0074491C" w:rsidP="0074491C">
      <w:pPr>
        <w:spacing w:before="320" w:after="80"/>
        <w:outlineLvl w:val="2"/>
        <w:rPr>
          <w:rFonts w:ascii="Times New Roman" w:eastAsia="Times New Roman" w:hAnsi="Times New Roman" w:cs="Times New Roman"/>
          <w:b/>
          <w:bCs/>
          <w:color w:val="000000"/>
          <w:sz w:val="27"/>
          <w:szCs w:val="27"/>
        </w:rPr>
      </w:pPr>
      <w:r w:rsidRPr="0074491C">
        <w:rPr>
          <w:rFonts w:ascii="Arial" w:eastAsia="Times New Roman" w:hAnsi="Arial" w:cs="Arial"/>
          <w:b/>
          <w:bCs/>
          <w:color w:val="000000"/>
          <w:sz w:val="28"/>
          <w:szCs w:val="28"/>
        </w:rPr>
        <w:t>Relevant Laws</w:t>
      </w:r>
    </w:p>
    <w:p w14:paraId="4496E31F" w14:textId="77777777" w:rsidR="0074491C" w:rsidRPr="0074491C" w:rsidRDefault="0074491C" w:rsidP="0074491C">
      <w:pPr>
        <w:rPr>
          <w:rFonts w:ascii="Times New Roman" w:eastAsia="Times New Roman" w:hAnsi="Times New Roman" w:cs="Times New Roman"/>
          <w:color w:val="000000"/>
        </w:rPr>
      </w:pPr>
      <w:r w:rsidRPr="0074491C">
        <w:rPr>
          <w:rFonts w:ascii="Times New Roman" w:eastAsia="Times New Roman" w:hAnsi="Times New Roman" w:cs="Times New Roman"/>
          <w:color w:val="000000"/>
        </w:rPr>
        <w:br/>
      </w:r>
    </w:p>
    <w:p w14:paraId="6B940143" w14:textId="77777777" w:rsidR="0074491C" w:rsidRPr="0074491C" w:rsidRDefault="0074491C" w:rsidP="0074491C">
      <w:pPr>
        <w:numPr>
          <w:ilvl w:val="0"/>
          <w:numId w:val="1"/>
        </w:numPr>
        <w:textAlignment w:val="baseline"/>
        <w:rPr>
          <w:rFonts w:ascii="Arial" w:eastAsia="Times New Roman" w:hAnsi="Arial" w:cs="Arial"/>
          <w:color w:val="000000"/>
          <w:sz w:val="22"/>
          <w:szCs w:val="22"/>
        </w:rPr>
      </w:pPr>
      <w:r w:rsidRPr="0074491C">
        <w:rPr>
          <w:rFonts w:ascii="Arial" w:eastAsia="Times New Roman" w:hAnsi="Arial" w:cs="Arial"/>
          <w:color w:val="000000"/>
          <w:sz w:val="22"/>
          <w:szCs w:val="22"/>
        </w:rPr>
        <w:t>Labor Management Relations Act of 1947 (LMRA; Taft-Hartley Act)</w:t>
      </w:r>
    </w:p>
    <w:p w14:paraId="280161D9" w14:textId="77777777" w:rsidR="0074491C" w:rsidRPr="0074491C" w:rsidRDefault="0074491C" w:rsidP="0074491C">
      <w:pPr>
        <w:numPr>
          <w:ilvl w:val="0"/>
          <w:numId w:val="1"/>
        </w:numPr>
        <w:textAlignment w:val="baseline"/>
        <w:rPr>
          <w:rFonts w:ascii="Arial" w:eastAsia="Times New Roman" w:hAnsi="Arial" w:cs="Arial"/>
          <w:color w:val="000000"/>
          <w:sz w:val="22"/>
          <w:szCs w:val="22"/>
        </w:rPr>
      </w:pPr>
      <w:r w:rsidRPr="0074491C">
        <w:rPr>
          <w:rFonts w:ascii="Arial" w:eastAsia="Times New Roman" w:hAnsi="Arial" w:cs="Arial"/>
          <w:color w:val="000000"/>
          <w:sz w:val="22"/>
          <w:szCs w:val="22"/>
        </w:rPr>
        <w:t>Labor-Management Reporting and Disclosure Act of 1959 and amendments (Landrum-Griffin Act)</w:t>
      </w:r>
    </w:p>
    <w:p w14:paraId="58139B12" w14:textId="77777777" w:rsidR="0074491C" w:rsidRPr="0074491C" w:rsidRDefault="0074491C" w:rsidP="0074491C">
      <w:pPr>
        <w:numPr>
          <w:ilvl w:val="0"/>
          <w:numId w:val="1"/>
        </w:numPr>
        <w:textAlignment w:val="baseline"/>
        <w:rPr>
          <w:rFonts w:ascii="Arial" w:eastAsia="Times New Roman" w:hAnsi="Arial" w:cs="Arial"/>
          <w:color w:val="000000"/>
          <w:sz w:val="22"/>
          <w:szCs w:val="22"/>
        </w:rPr>
      </w:pPr>
      <w:r w:rsidRPr="0074491C">
        <w:rPr>
          <w:rFonts w:ascii="Arial" w:eastAsia="Times New Roman" w:hAnsi="Arial" w:cs="Arial"/>
          <w:color w:val="000000"/>
          <w:sz w:val="22"/>
          <w:szCs w:val="22"/>
        </w:rPr>
        <w:t>National Labor Relations Act of 1935 (NLRA; Wagner Act; Wagner-Connery Labor Relations Act) </w:t>
      </w:r>
    </w:p>
    <w:p w14:paraId="0330E832" w14:textId="77777777" w:rsidR="0074491C" w:rsidRPr="0074491C" w:rsidRDefault="0074491C" w:rsidP="0074491C">
      <w:pPr>
        <w:numPr>
          <w:ilvl w:val="0"/>
          <w:numId w:val="1"/>
        </w:numPr>
        <w:textAlignment w:val="baseline"/>
        <w:rPr>
          <w:rFonts w:ascii="Arial" w:eastAsia="Times New Roman" w:hAnsi="Arial" w:cs="Arial"/>
          <w:b/>
          <w:bCs/>
          <w:color w:val="000000"/>
          <w:sz w:val="22"/>
          <w:szCs w:val="22"/>
        </w:rPr>
      </w:pPr>
      <w:r w:rsidRPr="0074491C">
        <w:rPr>
          <w:rFonts w:ascii="Arial" w:eastAsia="Times New Roman" w:hAnsi="Arial" w:cs="Arial"/>
          <w:color w:val="000000"/>
          <w:sz w:val="22"/>
          <w:szCs w:val="22"/>
        </w:rPr>
        <w:t>Railway Labor Act (RLA)</w:t>
      </w:r>
    </w:p>
    <w:p w14:paraId="73A4B1DB" w14:textId="77777777" w:rsidR="0074491C" w:rsidRDefault="0074491C"/>
    <w:sectPr w:rsidR="0074491C" w:rsidSect="0074491C">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441E41"/>
    <w:multiLevelType w:val="multilevel"/>
    <w:tmpl w:val="92DC8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53912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491C"/>
    <w:rsid w:val="00514E5E"/>
    <w:rsid w:val="0074491C"/>
    <w:rsid w:val="00D115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AEAA3EA"/>
  <w15:chartTrackingRefBased/>
  <w15:docId w15:val="{316C58A5-F28B-B14D-B1E6-7563C4A06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74491C"/>
    <w:pPr>
      <w:spacing w:before="100" w:beforeAutospacing="1" w:after="100" w:afterAutospacing="1"/>
      <w:outlineLvl w:val="2"/>
    </w:pPr>
    <w:rPr>
      <w:rFonts w:ascii="Times New Roman" w:eastAsia="Times New Roman" w:hAnsi="Times New Roman" w:cs="Times New Roman"/>
      <w:b/>
      <w:bCs/>
      <w:sz w:val="27"/>
      <w:szCs w:val="27"/>
    </w:rPr>
  </w:style>
  <w:style w:type="paragraph" w:styleId="Heading6">
    <w:name w:val="heading 6"/>
    <w:basedOn w:val="Normal"/>
    <w:link w:val="Heading6Char"/>
    <w:uiPriority w:val="9"/>
    <w:qFormat/>
    <w:rsid w:val="0074491C"/>
    <w:pPr>
      <w:spacing w:before="100" w:beforeAutospacing="1" w:after="100" w:afterAutospacing="1"/>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4491C"/>
    <w:rPr>
      <w:rFonts w:ascii="Times New Roman" w:eastAsia="Times New Roman" w:hAnsi="Times New Roman" w:cs="Times New Roman"/>
      <w:b/>
      <w:bCs/>
      <w:sz w:val="27"/>
      <w:szCs w:val="27"/>
    </w:rPr>
  </w:style>
  <w:style w:type="character" w:customStyle="1" w:styleId="Heading6Char">
    <w:name w:val="Heading 6 Char"/>
    <w:basedOn w:val="DefaultParagraphFont"/>
    <w:link w:val="Heading6"/>
    <w:uiPriority w:val="9"/>
    <w:rsid w:val="0074491C"/>
    <w:rPr>
      <w:rFonts w:ascii="Times New Roman" w:eastAsia="Times New Roman" w:hAnsi="Times New Roman" w:cs="Times New Roman"/>
      <w:b/>
      <w:bCs/>
      <w:sz w:val="15"/>
      <w:szCs w:val="15"/>
    </w:rPr>
  </w:style>
  <w:style w:type="paragraph" w:styleId="NormalWeb">
    <w:name w:val="Normal (Web)"/>
    <w:basedOn w:val="Normal"/>
    <w:uiPriority w:val="99"/>
    <w:semiHidden/>
    <w:unhideWhenUsed/>
    <w:rsid w:val="0074491C"/>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517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205</Words>
  <Characters>1175</Characters>
  <Application>Microsoft Office Word</Application>
  <DocSecurity>0</DocSecurity>
  <Lines>9</Lines>
  <Paragraphs>2</Paragraphs>
  <ScaleCrop>false</ScaleCrop>
  <Company>Learning and...Reflective Growth</Company>
  <LinksUpToDate>false</LinksUpToDate>
  <CharactersWithSpaces>1378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Roth</dc:creator>
  <cp:keywords/>
  <dc:description/>
  <cp:lastModifiedBy>Lori Roth</cp:lastModifiedBy>
  <cp:revision>3</cp:revision>
  <dcterms:created xsi:type="dcterms:W3CDTF">2023-01-30T21:31:00Z</dcterms:created>
  <dcterms:modified xsi:type="dcterms:W3CDTF">2023-02-02T17:46:00Z</dcterms:modified>
</cp:coreProperties>
</file>